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87D6" w14:textId="77777777" w:rsidR="006338A7" w:rsidRDefault="008952DC">
      <w:pPr>
        <w:pStyle w:val="Heading"/>
        <w:spacing w:after="0"/>
        <w:rPr>
          <w:b w:val="0"/>
          <w:bCs w:val="0"/>
          <w:sz w:val="20"/>
          <w:szCs w:val="20"/>
        </w:rPr>
      </w:pPr>
      <w:r>
        <w:rPr>
          <w:b w:val="0"/>
          <w:bCs w:val="0"/>
          <w:sz w:val="20"/>
          <w:szCs w:val="20"/>
        </w:rPr>
        <w:t>POSITION DESCRIPTION</w:t>
      </w:r>
    </w:p>
    <w:p w14:paraId="75F3F574" w14:textId="77777777" w:rsidR="006338A7" w:rsidRDefault="008952DC">
      <w:pPr>
        <w:pStyle w:val="Heading"/>
        <w:spacing w:before="120"/>
      </w:pPr>
      <w:r>
        <w:t>Assistant Secretary for Occupational Safety and Health, Department of labor</w:t>
      </w:r>
    </w:p>
    <w:p w14:paraId="2B1C65BE" w14:textId="77777777" w:rsidR="006338A7" w:rsidRDefault="006338A7">
      <w:pPr>
        <w:pStyle w:val="Body"/>
        <w:rPr>
          <w:rFonts w:ascii="Arial" w:eastAsia="Arial" w:hAnsi="Arial" w:cs="Arial"/>
        </w:rPr>
      </w:pPr>
    </w:p>
    <w:tbl>
      <w:tblPr>
        <w:tblW w:w="94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FD9"/>
        <w:tblLayout w:type="fixed"/>
        <w:tblLook w:val="04A0" w:firstRow="1" w:lastRow="0" w:firstColumn="1" w:lastColumn="0" w:noHBand="0" w:noVBand="1"/>
      </w:tblPr>
      <w:tblGrid>
        <w:gridCol w:w="2671"/>
        <w:gridCol w:w="6791"/>
      </w:tblGrid>
      <w:tr w:rsidR="008952DC" w:rsidRPr="00E55BB4" w14:paraId="43EEA157"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7B77F493" w14:textId="77777777" w:rsidR="006338A7" w:rsidRPr="00E55BB4" w:rsidRDefault="008952DC">
            <w:pPr>
              <w:pStyle w:val="Body"/>
              <w:jc w:val="center"/>
              <w:rPr>
                <w:rFonts w:ascii="Arial" w:hAnsi="Arial" w:cs="Arial"/>
                <w:color w:val="auto"/>
              </w:rPr>
            </w:pPr>
            <w:r w:rsidRPr="00E55BB4">
              <w:rPr>
                <w:rFonts w:ascii="Arial" w:hAnsi="Arial" w:cs="Arial"/>
                <w:b/>
                <w:bCs/>
                <w:color w:val="auto"/>
                <w:u w:color="FFFFFF"/>
              </w:rPr>
              <w:t>OVERVIEW</w:t>
            </w:r>
          </w:p>
        </w:tc>
      </w:tr>
      <w:tr w:rsidR="008952DC" w:rsidRPr="00E55BB4" w14:paraId="6D5E95A1"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34B05CD9" w14:textId="77777777" w:rsidR="006338A7" w:rsidRPr="00E55BB4" w:rsidRDefault="008952DC">
            <w:pPr>
              <w:pStyle w:val="Body"/>
              <w:rPr>
                <w:rFonts w:ascii="Arial" w:hAnsi="Arial" w:cs="Arial"/>
                <w:color w:val="auto"/>
              </w:rPr>
            </w:pPr>
            <w:r w:rsidRPr="00E55BB4">
              <w:rPr>
                <w:rFonts w:ascii="Arial" w:hAnsi="Arial" w:cs="Arial"/>
                <w:color w:val="auto"/>
              </w:rPr>
              <w:t>Senate Committee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E6CD4B" w14:textId="77777777" w:rsidR="006338A7" w:rsidRPr="00E55BB4" w:rsidRDefault="008952DC">
            <w:pPr>
              <w:pStyle w:val="Body"/>
              <w:rPr>
                <w:rFonts w:ascii="Arial" w:hAnsi="Arial" w:cs="Arial"/>
                <w:color w:val="auto"/>
              </w:rPr>
            </w:pPr>
            <w:r w:rsidRPr="00E55BB4">
              <w:rPr>
                <w:rFonts w:ascii="Arial" w:hAnsi="Arial" w:cs="Arial"/>
                <w:color w:val="auto"/>
              </w:rPr>
              <w:t>Health, Education, Labor and Pensions</w:t>
            </w:r>
          </w:p>
        </w:tc>
      </w:tr>
      <w:tr w:rsidR="008952DC" w:rsidRPr="00E55BB4" w14:paraId="0611B4CD" w14:textId="77777777">
        <w:trPr>
          <w:trHeight w:val="9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609F242B" w14:textId="77777777" w:rsidR="006338A7" w:rsidRPr="00E55BB4" w:rsidRDefault="008952DC">
            <w:pPr>
              <w:pStyle w:val="Body"/>
              <w:rPr>
                <w:rFonts w:ascii="Arial" w:hAnsi="Arial" w:cs="Arial"/>
                <w:color w:val="auto"/>
              </w:rPr>
            </w:pPr>
            <w:r w:rsidRPr="00E55BB4">
              <w:rPr>
                <w:rFonts w:ascii="Arial" w:hAnsi="Arial" w:cs="Arial"/>
                <w:color w:val="auto"/>
              </w:rPr>
              <w:t>Agency Mission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3B6800" w14:textId="77777777" w:rsidR="006338A7" w:rsidRPr="00E55BB4" w:rsidRDefault="008952DC">
            <w:pPr>
              <w:pStyle w:val="Body"/>
              <w:rPr>
                <w:rFonts w:ascii="Arial" w:hAnsi="Arial" w:cs="Arial"/>
                <w:color w:val="auto"/>
              </w:rPr>
            </w:pPr>
            <w:r w:rsidRPr="00E55BB4">
              <w:rPr>
                <w:rFonts w:ascii="Arial" w:hAnsi="Arial" w:cs="Arial"/>
                <w:color w:val="auto"/>
              </w:rPr>
              <w:t>To foster and promote the welfare of job seekers, wage earners and retirees of the United States by improving their working conditions, advancing their opportunities for profitable employment and protecting benefits</w:t>
            </w:r>
          </w:p>
        </w:tc>
      </w:tr>
      <w:tr w:rsidR="008952DC" w:rsidRPr="00E55BB4" w14:paraId="7595A03F" w14:textId="77777777">
        <w:trPr>
          <w:trHeight w:val="191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7051C60E" w14:textId="77777777" w:rsidR="006338A7" w:rsidRPr="00E55BB4" w:rsidRDefault="008952DC">
            <w:pPr>
              <w:pStyle w:val="Body"/>
              <w:rPr>
                <w:rFonts w:ascii="Arial" w:hAnsi="Arial" w:cs="Arial"/>
                <w:color w:val="auto"/>
              </w:rPr>
            </w:pPr>
            <w:r w:rsidRPr="00E55BB4">
              <w:rPr>
                <w:rFonts w:ascii="Arial" w:hAnsi="Arial" w:cs="Arial"/>
                <w:color w:val="auto"/>
              </w:rPr>
              <w:t>Position Overview</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80006" w14:textId="08EB8644" w:rsidR="006338A7" w:rsidRPr="00E55BB4" w:rsidRDefault="008952DC">
            <w:pPr>
              <w:pStyle w:val="Body"/>
              <w:rPr>
                <w:rFonts w:ascii="Arial" w:hAnsi="Arial" w:cs="Arial"/>
                <w:color w:val="auto"/>
              </w:rPr>
            </w:pPr>
            <w:r w:rsidRPr="00E55BB4">
              <w:rPr>
                <w:rFonts w:ascii="Arial" w:hAnsi="Arial" w:cs="Arial"/>
                <w:color w:val="auto"/>
              </w:rPr>
              <w:t>The assistant secretary for occupational safety and health serves as the principal representative of, coordinating office</w:t>
            </w:r>
            <w:r w:rsidR="00E55BB4" w:rsidRPr="00E55BB4">
              <w:rPr>
                <w:rFonts w:ascii="Arial" w:hAnsi="Arial" w:cs="Arial"/>
                <w:color w:val="auto"/>
              </w:rPr>
              <w:t>r</w:t>
            </w:r>
            <w:r w:rsidRPr="00E55BB4">
              <w:rPr>
                <w:rFonts w:ascii="Arial" w:hAnsi="Arial" w:cs="Arial"/>
                <w:color w:val="auto"/>
              </w:rPr>
              <w:t xml:space="preserve"> for</w:t>
            </w:r>
            <w:r w:rsidR="00AD661B" w:rsidRPr="00E55BB4">
              <w:rPr>
                <w:rFonts w:ascii="Arial" w:hAnsi="Arial" w:cs="Arial"/>
                <w:color w:val="auto"/>
              </w:rPr>
              <w:t>, and</w:t>
            </w:r>
            <w:r w:rsidRPr="00E55BB4">
              <w:rPr>
                <w:rFonts w:ascii="Arial" w:hAnsi="Arial" w:cs="Arial"/>
                <w:color w:val="auto"/>
              </w:rPr>
              <w:t xml:space="preserve"> chief strategist and advisor to the secretary and deputy secretary with respect to the Occupational Safety and Health Administration (OSHA), which is responsible for assuring safe and healthful working conditions for working men and women by setting and enforcing standards and by providing training, outreach, education and assistance.</w:t>
            </w:r>
          </w:p>
        </w:tc>
      </w:tr>
      <w:tr w:rsidR="008952DC" w:rsidRPr="00E55BB4" w14:paraId="29DDCD78"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08318853" w14:textId="77777777" w:rsidR="006338A7" w:rsidRPr="00E55BB4" w:rsidRDefault="008952DC">
            <w:pPr>
              <w:pStyle w:val="Body"/>
              <w:rPr>
                <w:rFonts w:ascii="Arial" w:hAnsi="Arial" w:cs="Arial"/>
                <w:color w:val="auto"/>
              </w:rPr>
            </w:pPr>
            <w:r w:rsidRPr="00E55BB4">
              <w:rPr>
                <w:rFonts w:ascii="Arial" w:hAnsi="Arial" w:cs="Arial"/>
                <w:color w:val="auto"/>
              </w:rPr>
              <w:t>Compensation</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47A04E" w14:textId="2FBA1FEB" w:rsidR="006338A7" w:rsidRPr="00E55BB4" w:rsidRDefault="00E55BB4" w:rsidP="002D61B7">
            <w:pPr>
              <w:pStyle w:val="Body"/>
              <w:rPr>
                <w:rFonts w:ascii="Arial" w:hAnsi="Arial" w:cs="Arial"/>
                <w:color w:val="auto"/>
              </w:rPr>
            </w:pPr>
            <w:r w:rsidRPr="00E55BB4">
              <w:rPr>
                <w:rFonts w:ascii="Arial" w:hAnsi="Arial" w:cs="Arial"/>
                <w:color w:val="auto"/>
              </w:rPr>
              <w:t>Level IV $</w:t>
            </w:r>
            <w:r w:rsidR="002D61B7">
              <w:rPr>
                <w:rFonts w:ascii="Arial" w:hAnsi="Arial" w:cs="Arial"/>
                <w:color w:val="auto"/>
              </w:rPr>
              <w:t>155,500</w:t>
            </w:r>
            <w:r w:rsidR="008952DC" w:rsidRPr="00E55BB4">
              <w:rPr>
                <w:rFonts w:ascii="Arial" w:hAnsi="Arial" w:cs="Arial"/>
                <w:color w:val="auto"/>
              </w:rPr>
              <w:t xml:space="preserve"> (5 U.S.C. § 5315)</w:t>
            </w:r>
            <w:r w:rsidRPr="00E55BB4">
              <w:rPr>
                <w:rStyle w:val="EndnoteReference"/>
                <w:rFonts w:ascii="Arial" w:hAnsi="Arial" w:cs="Arial"/>
                <w:color w:val="auto"/>
              </w:rPr>
              <w:endnoteReference w:id="1"/>
            </w:r>
          </w:p>
        </w:tc>
      </w:tr>
      <w:tr w:rsidR="008952DC" w:rsidRPr="00E55BB4" w14:paraId="218019C4" w14:textId="77777777">
        <w:trPr>
          <w:trHeight w:val="23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3D203542" w14:textId="77777777" w:rsidR="006338A7" w:rsidRPr="00E55BB4" w:rsidRDefault="008952DC">
            <w:pPr>
              <w:pStyle w:val="Body"/>
              <w:rPr>
                <w:rFonts w:ascii="Arial" w:hAnsi="Arial" w:cs="Arial"/>
                <w:color w:val="auto"/>
              </w:rPr>
            </w:pPr>
            <w:r w:rsidRPr="00E55BB4">
              <w:rPr>
                <w:rFonts w:ascii="Arial" w:hAnsi="Arial" w:cs="Arial"/>
                <w:color w:val="auto"/>
              </w:rPr>
              <w:t>Position Reports to</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A7F574" w14:textId="77777777" w:rsidR="006338A7" w:rsidRPr="00E55BB4" w:rsidRDefault="008952DC">
            <w:pPr>
              <w:pStyle w:val="Body"/>
              <w:rPr>
                <w:rFonts w:ascii="Arial" w:hAnsi="Arial" w:cs="Arial"/>
                <w:color w:val="auto"/>
              </w:rPr>
            </w:pPr>
            <w:r w:rsidRPr="00E55BB4">
              <w:rPr>
                <w:rFonts w:ascii="Arial" w:hAnsi="Arial" w:cs="Arial"/>
                <w:color w:val="auto"/>
                <w:u w:color="FF0000"/>
              </w:rPr>
              <w:t>Secretary of Labor</w:t>
            </w:r>
          </w:p>
        </w:tc>
      </w:tr>
      <w:tr w:rsidR="008952DC" w:rsidRPr="00E55BB4" w14:paraId="41885456" w14:textId="7777777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4A6937A3" w14:textId="77777777" w:rsidR="006338A7" w:rsidRPr="00E55BB4" w:rsidRDefault="008952DC">
            <w:pPr>
              <w:pStyle w:val="Body"/>
              <w:jc w:val="center"/>
              <w:rPr>
                <w:rFonts w:ascii="Arial" w:hAnsi="Arial" w:cs="Arial"/>
                <w:color w:val="auto"/>
              </w:rPr>
            </w:pPr>
            <w:r w:rsidRPr="00E55BB4">
              <w:rPr>
                <w:rFonts w:ascii="Arial" w:hAnsi="Arial" w:cs="Arial"/>
                <w:b/>
                <w:bCs/>
                <w:color w:val="auto"/>
                <w:u w:color="FFFFFF"/>
              </w:rPr>
              <w:t>RESPONSIBILITIES</w:t>
            </w:r>
          </w:p>
        </w:tc>
      </w:tr>
      <w:tr w:rsidR="008952DC" w:rsidRPr="00E55BB4" w14:paraId="4FB7E759" w14:textId="77777777">
        <w:trPr>
          <w:trHeight w:val="71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26184534" w14:textId="77777777" w:rsidR="006338A7" w:rsidRPr="00E55BB4" w:rsidRDefault="008952DC">
            <w:pPr>
              <w:pStyle w:val="Body"/>
              <w:rPr>
                <w:rFonts w:ascii="Arial" w:hAnsi="Arial" w:cs="Arial"/>
                <w:color w:val="auto"/>
              </w:rPr>
            </w:pPr>
            <w:r w:rsidRPr="00E55BB4">
              <w:rPr>
                <w:rFonts w:ascii="Arial" w:hAnsi="Arial" w:cs="Arial"/>
                <w:color w:val="auto"/>
              </w:rPr>
              <w:t>Management Scope</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23AD31" w14:textId="4647C3B0" w:rsidR="006338A7" w:rsidRPr="00E55BB4" w:rsidRDefault="008952DC" w:rsidP="001B4C23">
            <w:pPr>
              <w:pStyle w:val="Body"/>
              <w:rPr>
                <w:rFonts w:ascii="Arial" w:hAnsi="Arial" w:cs="Arial"/>
                <w:color w:val="auto"/>
              </w:rPr>
            </w:pPr>
            <w:r w:rsidRPr="00E55BB4">
              <w:rPr>
                <w:rFonts w:ascii="Arial" w:hAnsi="Arial" w:cs="Arial"/>
                <w:color w:val="auto"/>
              </w:rPr>
              <w:t xml:space="preserve">Federal OSHA employs more than 2,000 employees in </w:t>
            </w:r>
            <w:r w:rsidR="00AA2B8B" w:rsidRPr="00E55BB4">
              <w:rPr>
                <w:rFonts w:ascii="Arial" w:hAnsi="Arial" w:cs="Arial"/>
                <w:color w:val="auto"/>
              </w:rPr>
              <w:t>more than</w:t>
            </w:r>
            <w:r w:rsidRPr="00E55BB4">
              <w:rPr>
                <w:rFonts w:ascii="Arial" w:hAnsi="Arial" w:cs="Arial"/>
                <w:color w:val="auto"/>
              </w:rPr>
              <w:t xml:space="preserve"> 120 offices across the country. In fiscal 2016, OSHA had an enacted budget of </w:t>
            </w:r>
            <w:r w:rsidR="00AA2B8B" w:rsidRPr="00E55BB4">
              <w:rPr>
                <w:rFonts w:ascii="Arial" w:hAnsi="Arial" w:cs="Arial"/>
                <w:color w:val="auto"/>
              </w:rPr>
              <w:t xml:space="preserve">more than </w:t>
            </w:r>
            <w:r w:rsidRPr="00E55BB4">
              <w:rPr>
                <w:rFonts w:ascii="Arial" w:hAnsi="Arial" w:cs="Arial"/>
                <w:color w:val="auto"/>
              </w:rPr>
              <w:t>$552.</w:t>
            </w:r>
            <w:r w:rsidR="00AA2B8B" w:rsidRPr="00E55BB4">
              <w:rPr>
                <w:rFonts w:ascii="Arial" w:hAnsi="Arial" w:cs="Arial"/>
                <w:color w:val="auto"/>
              </w:rPr>
              <w:t>8</w:t>
            </w:r>
            <w:r w:rsidRPr="00E55BB4">
              <w:rPr>
                <w:rFonts w:ascii="Arial" w:hAnsi="Arial" w:cs="Arial"/>
                <w:color w:val="auto"/>
              </w:rPr>
              <w:t xml:space="preserve"> </w:t>
            </w:r>
            <w:r w:rsidR="001B4C23">
              <w:rPr>
                <w:rFonts w:ascii="Arial" w:hAnsi="Arial" w:cs="Arial"/>
                <w:color w:val="auto"/>
              </w:rPr>
              <w:t>million</w:t>
            </w:r>
            <w:bookmarkStart w:id="0" w:name="_GoBack"/>
            <w:bookmarkEnd w:id="0"/>
            <w:r w:rsidRPr="00E55BB4">
              <w:rPr>
                <w:rFonts w:ascii="Arial" w:hAnsi="Arial" w:cs="Arial"/>
                <w:color w:val="auto"/>
              </w:rPr>
              <w:t>.</w:t>
            </w:r>
          </w:p>
        </w:tc>
      </w:tr>
      <w:tr w:rsidR="003D384C" w:rsidRPr="00E55BB4" w14:paraId="35B9329E" w14:textId="77777777" w:rsidTr="003D384C">
        <w:trPr>
          <w:trHeight w:val="71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5D332429" w14:textId="77777777" w:rsidR="003D384C" w:rsidRPr="00E55BB4" w:rsidRDefault="003D384C" w:rsidP="003B6EC7">
            <w:pPr>
              <w:pStyle w:val="Body"/>
              <w:rPr>
                <w:rFonts w:ascii="Arial" w:hAnsi="Arial" w:cs="Arial"/>
                <w:color w:val="auto"/>
              </w:rPr>
            </w:pPr>
            <w:r w:rsidRPr="00E55BB4">
              <w:rPr>
                <w:rFonts w:ascii="Arial" w:hAnsi="Arial" w:cs="Arial"/>
                <w:color w:val="auto"/>
              </w:rPr>
              <w:t>Primary Responsibilities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FF2924" w14:textId="1B56935B" w:rsidR="003D384C" w:rsidRPr="00E55BB4" w:rsidRDefault="00AD661B" w:rsidP="003B6EC7">
            <w:pPr>
              <w:pStyle w:val="ListParagraph"/>
              <w:numPr>
                <w:ilvl w:val="0"/>
                <w:numId w:val="3"/>
              </w:numPr>
              <w:rPr>
                <w:rFonts w:ascii="Arial" w:hAnsi="Arial" w:cs="Arial"/>
                <w:color w:val="auto"/>
              </w:rPr>
            </w:pPr>
            <w:r w:rsidRPr="00E55BB4">
              <w:rPr>
                <w:rFonts w:ascii="Arial" w:hAnsi="Arial" w:cs="Arial"/>
                <w:color w:val="auto"/>
              </w:rPr>
              <w:t>Oversees</w:t>
            </w:r>
            <w:r w:rsidR="003D384C" w:rsidRPr="00E55BB4">
              <w:rPr>
                <w:rFonts w:ascii="Arial" w:hAnsi="Arial" w:cs="Arial"/>
                <w:color w:val="auto"/>
              </w:rPr>
              <w:t xml:space="preserve"> OSHA, which:</w:t>
            </w:r>
          </w:p>
          <w:p w14:paraId="1670BBCB" w14:textId="6EA5D805" w:rsidR="003D384C" w:rsidRPr="00E55BB4" w:rsidRDefault="003D384C" w:rsidP="003B6EC7">
            <w:pPr>
              <w:pStyle w:val="ListParagraph"/>
              <w:numPr>
                <w:ilvl w:val="1"/>
                <w:numId w:val="1"/>
              </w:numPr>
              <w:rPr>
                <w:rFonts w:ascii="Arial" w:hAnsi="Arial" w:cs="Arial"/>
                <w:color w:val="auto"/>
              </w:rPr>
            </w:pPr>
            <w:r w:rsidRPr="00E55BB4">
              <w:rPr>
                <w:rFonts w:ascii="Arial" w:hAnsi="Arial" w:cs="Arial"/>
                <w:color w:val="auto"/>
              </w:rPr>
              <w:t>Covers most private</w:t>
            </w:r>
            <w:r w:rsidR="00AD661B" w:rsidRPr="00E55BB4">
              <w:rPr>
                <w:rFonts w:ascii="Arial" w:hAnsi="Arial" w:cs="Arial"/>
                <w:color w:val="auto"/>
              </w:rPr>
              <w:t>-</w:t>
            </w:r>
            <w:r w:rsidRPr="00E55BB4">
              <w:rPr>
                <w:rFonts w:ascii="Arial" w:hAnsi="Arial" w:cs="Arial"/>
                <w:color w:val="auto"/>
              </w:rPr>
              <w:t>sector employers and workers in all 50 states, the District of Columbia and other U.S. jurisdictions either directly through federal OSHA or through an OSHA-approved state program</w:t>
            </w:r>
          </w:p>
          <w:p w14:paraId="7DE125E5" w14:textId="77777777" w:rsidR="003D384C" w:rsidRPr="00E55BB4" w:rsidRDefault="003D384C" w:rsidP="003B6EC7">
            <w:pPr>
              <w:pStyle w:val="ListParagraph"/>
              <w:numPr>
                <w:ilvl w:val="1"/>
                <w:numId w:val="1"/>
              </w:numPr>
              <w:rPr>
                <w:rFonts w:ascii="Arial" w:hAnsi="Arial" w:cs="Arial"/>
                <w:color w:val="auto"/>
              </w:rPr>
            </w:pPr>
            <w:r w:rsidRPr="00E55BB4">
              <w:rPr>
                <w:rFonts w:ascii="Arial" w:hAnsi="Arial" w:cs="Arial"/>
                <w:color w:val="auto"/>
              </w:rPr>
              <w:t>Sets federal workplace safety and health standards</w:t>
            </w:r>
            <w:r w:rsidR="00AD661B" w:rsidRPr="00E55BB4">
              <w:rPr>
                <w:rFonts w:ascii="Arial" w:hAnsi="Arial" w:cs="Arial"/>
                <w:color w:val="auto"/>
              </w:rPr>
              <w:t>,</w:t>
            </w:r>
            <w:r w:rsidRPr="00E55BB4">
              <w:rPr>
                <w:rFonts w:ascii="Arial" w:hAnsi="Arial" w:cs="Arial"/>
                <w:color w:val="auto"/>
              </w:rPr>
              <w:t xml:space="preserve"> which state programs must meet or exceed</w:t>
            </w:r>
          </w:p>
          <w:p w14:paraId="4177C983" w14:textId="6B5D2E93" w:rsidR="003D384C" w:rsidRPr="00E55BB4" w:rsidRDefault="003D384C" w:rsidP="003B6EC7">
            <w:pPr>
              <w:pStyle w:val="ListParagraph"/>
              <w:numPr>
                <w:ilvl w:val="0"/>
                <w:numId w:val="4"/>
              </w:numPr>
              <w:rPr>
                <w:rFonts w:ascii="Arial" w:hAnsi="Arial" w:cs="Arial"/>
                <w:color w:val="auto"/>
              </w:rPr>
            </w:pPr>
            <w:r w:rsidRPr="00E55BB4">
              <w:rPr>
                <w:rFonts w:ascii="Arial" w:hAnsi="Arial" w:cs="Arial"/>
                <w:color w:val="auto"/>
              </w:rPr>
              <w:t xml:space="preserve">Provides leadership and overall direction in the design, development, implementation and evaluation of programs and policies that advance the </w:t>
            </w:r>
            <w:r w:rsidR="00AA2B8B" w:rsidRPr="00E55BB4">
              <w:rPr>
                <w:rFonts w:ascii="Arial" w:hAnsi="Arial" w:cs="Arial"/>
                <w:color w:val="auto"/>
              </w:rPr>
              <w:t xml:space="preserve">agency’s </w:t>
            </w:r>
            <w:r w:rsidRPr="00E55BB4">
              <w:rPr>
                <w:rFonts w:ascii="Arial" w:hAnsi="Arial" w:cs="Arial"/>
                <w:color w:val="auto"/>
              </w:rPr>
              <w:t xml:space="preserve">mission </w:t>
            </w:r>
          </w:p>
          <w:p w14:paraId="2B7A823B" w14:textId="7A828FAC" w:rsidR="003D384C" w:rsidRPr="00E55BB4" w:rsidRDefault="003D384C" w:rsidP="003B6EC7">
            <w:pPr>
              <w:pStyle w:val="ListParagraph"/>
              <w:numPr>
                <w:ilvl w:val="0"/>
                <w:numId w:val="4"/>
              </w:numPr>
              <w:rPr>
                <w:rFonts w:ascii="Arial" w:hAnsi="Arial" w:cs="Arial"/>
                <w:color w:val="auto"/>
              </w:rPr>
            </w:pPr>
            <w:r w:rsidRPr="00E55BB4">
              <w:rPr>
                <w:rFonts w:ascii="Arial" w:hAnsi="Arial" w:cs="Arial"/>
                <w:color w:val="auto"/>
              </w:rPr>
              <w:t>Holds overall responsibility for a complex range of activities, including workplace enforc</w:t>
            </w:r>
            <w:r w:rsidR="00E55BB4" w:rsidRPr="00E55BB4">
              <w:rPr>
                <w:rFonts w:ascii="Arial" w:hAnsi="Arial" w:cs="Arial"/>
                <w:color w:val="auto"/>
              </w:rPr>
              <w:t>ement</w:t>
            </w:r>
            <w:r w:rsidRPr="00E55BB4">
              <w:rPr>
                <w:rFonts w:ascii="Arial" w:hAnsi="Arial" w:cs="Arial"/>
                <w:color w:val="auto"/>
              </w:rPr>
              <w:t xml:space="preserve"> efforts </w:t>
            </w:r>
            <w:r w:rsidR="00AD661B" w:rsidRPr="00E55BB4">
              <w:rPr>
                <w:rFonts w:ascii="Arial" w:hAnsi="Arial" w:cs="Arial"/>
                <w:color w:val="auto"/>
              </w:rPr>
              <w:t xml:space="preserve">with the strength </w:t>
            </w:r>
            <w:r w:rsidRPr="00E55BB4">
              <w:rPr>
                <w:rFonts w:ascii="Arial" w:hAnsi="Arial" w:cs="Arial"/>
                <w:color w:val="auto"/>
              </w:rPr>
              <w:t>to act as an effective deterrent</w:t>
            </w:r>
            <w:r w:rsidR="00AA2B8B" w:rsidRPr="00E55BB4">
              <w:rPr>
                <w:rFonts w:ascii="Arial" w:hAnsi="Arial" w:cs="Arial"/>
                <w:color w:val="auto"/>
              </w:rPr>
              <w:t>;</w:t>
            </w:r>
            <w:r w:rsidRPr="00E55BB4">
              <w:rPr>
                <w:rFonts w:ascii="Arial" w:hAnsi="Arial" w:cs="Arial"/>
                <w:color w:val="auto"/>
              </w:rPr>
              <w:t xml:space="preserve"> issuing standards and regulations that lead employers to provide safer workplaces</w:t>
            </w:r>
            <w:r w:rsidR="00AA2B8B" w:rsidRPr="00E55BB4">
              <w:rPr>
                <w:rFonts w:ascii="Arial" w:hAnsi="Arial" w:cs="Arial"/>
                <w:color w:val="auto"/>
              </w:rPr>
              <w:t>;</w:t>
            </w:r>
            <w:r w:rsidRPr="00E55BB4">
              <w:rPr>
                <w:rFonts w:ascii="Arial" w:hAnsi="Arial" w:cs="Arial"/>
                <w:color w:val="auto"/>
              </w:rPr>
              <w:t xml:space="preserve"> protecting the ability of workers to raise concerns about workplace safety or related issues without fear of retaliation</w:t>
            </w:r>
            <w:r w:rsidR="00AA2B8B" w:rsidRPr="00E55BB4">
              <w:rPr>
                <w:rFonts w:ascii="Arial" w:hAnsi="Arial" w:cs="Arial"/>
                <w:color w:val="auto"/>
              </w:rPr>
              <w:t>;</w:t>
            </w:r>
            <w:r w:rsidRPr="00E55BB4">
              <w:rPr>
                <w:rFonts w:ascii="Arial" w:hAnsi="Arial" w:cs="Arial"/>
                <w:color w:val="auto"/>
              </w:rPr>
              <w:t xml:space="preserve"> overseeing OSHA-approved state plans to ensure they are at least as effective as </w:t>
            </w:r>
            <w:r w:rsidRPr="00E55BB4">
              <w:rPr>
                <w:rFonts w:ascii="Arial" w:hAnsi="Arial" w:cs="Arial"/>
                <w:color w:val="auto"/>
              </w:rPr>
              <w:lastRenderedPageBreak/>
              <w:t>federal OSHA</w:t>
            </w:r>
            <w:r w:rsidR="00AA2B8B" w:rsidRPr="00E55BB4">
              <w:rPr>
                <w:rFonts w:ascii="Arial" w:hAnsi="Arial" w:cs="Arial"/>
                <w:color w:val="auto"/>
              </w:rPr>
              <w:t>;</w:t>
            </w:r>
            <w:r w:rsidRPr="00E55BB4">
              <w:rPr>
                <w:rFonts w:ascii="Arial" w:hAnsi="Arial" w:cs="Arial"/>
                <w:color w:val="auto"/>
              </w:rPr>
              <w:t xml:space="preserve"> and delivering compliance assistance efforts that promote the voluntary abatement of hazards</w:t>
            </w:r>
          </w:p>
          <w:p w14:paraId="15E2CA88" w14:textId="77777777" w:rsidR="003D384C" w:rsidRPr="00E55BB4" w:rsidRDefault="003D384C" w:rsidP="003B6EC7">
            <w:pPr>
              <w:pStyle w:val="ListParagraph"/>
              <w:numPr>
                <w:ilvl w:val="0"/>
                <w:numId w:val="4"/>
              </w:numPr>
              <w:rPr>
                <w:rFonts w:ascii="Arial" w:hAnsi="Arial" w:cs="Arial"/>
                <w:color w:val="auto"/>
              </w:rPr>
            </w:pPr>
            <w:r w:rsidRPr="00E55BB4">
              <w:rPr>
                <w:rFonts w:ascii="Arial" w:hAnsi="Arial" w:cs="Arial"/>
                <w:color w:val="auto"/>
              </w:rPr>
              <w:t>Ensures that OSHA’s program focus</w:t>
            </w:r>
            <w:r w:rsidR="00AD661B" w:rsidRPr="00E55BB4">
              <w:rPr>
                <w:rFonts w:ascii="Arial" w:hAnsi="Arial" w:cs="Arial"/>
                <w:color w:val="auto"/>
              </w:rPr>
              <w:t>es</w:t>
            </w:r>
            <w:r w:rsidRPr="00E55BB4">
              <w:rPr>
                <w:rFonts w:ascii="Arial" w:hAnsi="Arial" w:cs="Arial"/>
                <w:color w:val="auto"/>
              </w:rPr>
              <w:t xml:space="preserve"> on the protection of workers in high-hazard occupations and industries, as well as on vulnerable and hard-to-reach worker populations </w:t>
            </w:r>
          </w:p>
          <w:p w14:paraId="3880869E" w14:textId="77777777" w:rsidR="003D384C" w:rsidRPr="00E55BB4" w:rsidRDefault="003D384C" w:rsidP="003B6EC7">
            <w:pPr>
              <w:pStyle w:val="ListParagraph"/>
              <w:numPr>
                <w:ilvl w:val="0"/>
                <w:numId w:val="4"/>
              </w:numPr>
              <w:rPr>
                <w:rFonts w:ascii="Arial" w:hAnsi="Arial" w:cs="Arial"/>
                <w:color w:val="auto"/>
              </w:rPr>
            </w:pPr>
            <w:r w:rsidRPr="00E55BB4">
              <w:rPr>
                <w:rFonts w:ascii="Arial" w:hAnsi="Arial" w:cs="Arial"/>
                <w:color w:val="auto"/>
              </w:rPr>
              <w:t>Maintains a strong outreach and education program aimed at providing compliance assistance for small businesses</w:t>
            </w:r>
          </w:p>
        </w:tc>
      </w:tr>
      <w:tr w:rsidR="003D384C" w:rsidRPr="00E55BB4" w14:paraId="09EABA1B" w14:textId="77777777" w:rsidTr="003D384C">
        <w:trPr>
          <w:trHeight w:val="71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1CD79B5C" w14:textId="77777777" w:rsidR="003D384C" w:rsidRPr="00E55BB4" w:rsidRDefault="003D384C" w:rsidP="003B6EC7">
            <w:pPr>
              <w:pStyle w:val="Body"/>
              <w:rPr>
                <w:rFonts w:ascii="Arial" w:hAnsi="Arial" w:cs="Arial"/>
                <w:color w:val="auto"/>
              </w:rPr>
            </w:pPr>
            <w:r w:rsidRPr="00E55BB4">
              <w:rPr>
                <w:rFonts w:ascii="Arial" w:hAnsi="Arial" w:cs="Arial"/>
                <w:color w:val="auto"/>
              </w:rPr>
              <w:lastRenderedPageBreak/>
              <w:t>Strategic Goals and Priorities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6FE899" w14:textId="77777777" w:rsidR="003D384C" w:rsidRPr="00E55BB4" w:rsidRDefault="003D384C" w:rsidP="003D384C">
            <w:pPr>
              <w:pStyle w:val="Body"/>
              <w:rPr>
                <w:rFonts w:ascii="Arial" w:hAnsi="Arial" w:cs="Arial"/>
                <w:color w:val="auto"/>
              </w:rPr>
            </w:pPr>
          </w:p>
          <w:p w14:paraId="5E3AF6B1" w14:textId="77777777" w:rsidR="003D384C" w:rsidRPr="00E55BB4" w:rsidRDefault="003D384C" w:rsidP="003D384C">
            <w:pPr>
              <w:pStyle w:val="Body"/>
              <w:rPr>
                <w:rFonts w:ascii="Arial" w:hAnsi="Arial" w:cs="Arial"/>
                <w:color w:val="auto"/>
              </w:rPr>
            </w:pPr>
          </w:p>
          <w:p w14:paraId="1716DE96" w14:textId="77777777" w:rsidR="003D384C" w:rsidRPr="00E55BB4" w:rsidRDefault="003D384C" w:rsidP="003D384C">
            <w:pPr>
              <w:pStyle w:val="Body"/>
              <w:jc w:val="center"/>
              <w:rPr>
                <w:rFonts w:ascii="Arial" w:hAnsi="Arial" w:cs="Arial"/>
                <w:color w:val="auto"/>
              </w:rPr>
            </w:pPr>
            <w:r w:rsidRPr="00E55BB4">
              <w:rPr>
                <w:rFonts w:ascii="Arial" w:hAnsi="Arial" w:cs="Arial"/>
                <w:color w:val="auto"/>
              </w:rPr>
              <w:t>[Depends on the policy priorities of the administration]</w:t>
            </w:r>
          </w:p>
          <w:p w14:paraId="6365E4C0" w14:textId="77777777" w:rsidR="003D384C" w:rsidRPr="00E55BB4" w:rsidRDefault="003D384C" w:rsidP="003D384C">
            <w:pPr>
              <w:pStyle w:val="Body"/>
              <w:rPr>
                <w:rFonts w:ascii="Arial" w:hAnsi="Arial" w:cs="Arial"/>
                <w:color w:val="auto"/>
              </w:rPr>
            </w:pPr>
          </w:p>
          <w:p w14:paraId="570585CC" w14:textId="77777777" w:rsidR="003D384C" w:rsidRPr="00E55BB4" w:rsidRDefault="003D384C" w:rsidP="003D384C">
            <w:pPr>
              <w:pStyle w:val="Body"/>
              <w:rPr>
                <w:rFonts w:ascii="Arial" w:hAnsi="Arial" w:cs="Arial"/>
                <w:color w:val="auto"/>
              </w:rPr>
            </w:pPr>
          </w:p>
        </w:tc>
      </w:tr>
      <w:tr w:rsidR="003D384C" w:rsidRPr="00E55BB4" w14:paraId="467B96D2" w14:textId="77777777" w:rsidTr="003B6EC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0CF24CDE" w14:textId="77777777" w:rsidR="003D384C" w:rsidRPr="00E55BB4" w:rsidRDefault="003D384C" w:rsidP="003B6EC7">
            <w:pPr>
              <w:pStyle w:val="Body"/>
              <w:jc w:val="center"/>
              <w:rPr>
                <w:rFonts w:ascii="Arial" w:hAnsi="Arial" w:cs="Arial"/>
                <w:color w:val="auto"/>
              </w:rPr>
            </w:pPr>
            <w:r w:rsidRPr="00E55BB4">
              <w:rPr>
                <w:rFonts w:ascii="Arial" w:hAnsi="Arial" w:cs="Arial"/>
                <w:b/>
                <w:bCs/>
                <w:color w:val="auto"/>
                <w:u w:color="FFFFFF"/>
              </w:rPr>
              <w:t>REQUIREMENTS AND COMPETENCIES</w:t>
            </w:r>
          </w:p>
        </w:tc>
      </w:tr>
      <w:tr w:rsidR="003D384C" w:rsidRPr="00E55BB4" w14:paraId="02FD8544" w14:textId="77777777" w:rsidTr="003B6EC7">
        <w:trPr>
          <w:trHeight w:val="2158"/>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0E55DCA5" w14:textId="77777777" w:rsidR="003D384C" w:rsidRPr="00E55BB4" w:rsidRDefault="003D384C" w:rsidP="003B6EC7">
            <w:pPr>
              <w:pStyle w:val="Body"/>
              <w:rPr>
                <w:rFonts w:ascii="Arial" w:hAnsi="Arial" w:cs="Arial"/>
                <w:color w:val="auto"/>
              </w:rPr>
            </w:pPr>
            <w:r w:rsidRPr="00E55BB4">
              <w:rPr>
                <w:rFonts w:ascii="Arial" w:hAnsi="Arial" w:cs="Arial"/>
                <w:color w:val="auto"/>
              </w:rPr>
              <w:t>Requirements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FE5E11" w14:textId="77777777" w:rsidR="003D384C" w:rsidRPr="00E55BB4" w:rsidRDefault="003D384C" w:rsidP="003B6EC7">
            <w:pPr>
              <w:pStyle w:val="ListParagraph"/>
              <w:numPr>
                <w:ilvl w:val="0"/>
                <w:numId w:val="5"/>
              </w:numPr>
              <w:rPr>
                <w:rFonts w:ascii="Arial" w:hAnsi="Arial" w:cs="Arial"/>
                <w:color w:val="auto"/>
              </w:rPr>
            </w:pPr>
            <w:r w:rsidRPr="00E55BB4">
              <w:rPr>
                <w:rFonts w:ascii="Arial" w:hAnsi="Arial" w:cs="Arial"/>
                <w:color w:val="auto"/>
              </w:rPr>
              <w:t>Experience or demonstrated ability managing OSHA programs at the state level</w:t>
            </w:r>
          </w:p>
          <w:p w14:paraId="4F6B6786" w14:textId="77777777" w:rsidR="003D384C" w:rsidRPr="00E55BB4" w:rsidRDefault="003D384C" w:rsidP="003B6EC7">
            <w:pPr>
              <w:pStyle w:val="ListParagraph"/>
              <w:numPr>
                <w:ilvl w:val="0"/>
                <w:numId w:val="5"/>
              </w:numPr>
              <w:rPr>
                <w:rFonts w:ascii="Arial" w:hAnsi="Arial" w:cs="Arial"/>
                <w:color w:val="auto"/>
              </w:rPr>
            </w:pPr>
            <w:r w:rsidRPr="00E55BB4">
              <w:rPr>
                <w:rFonts w:ascii="Arial" w:hAnsi="Arial" w:cs="Arial"/>
                <w:color w:val="auto"/>
              </w:rPr>
              <w:t>Experience working with or in state and local government</w:t>
            </w:r>
          </w:p>
          <w:p w14:paraId="666F661B" w14:textId="77777777" w:rsidR="003D384C" w:rsidRPr="00E55BB4" w:rsidRDefault="003D384C" w:rsidP="003B6EC7">
            <w:pPr>
              <w:pStyle w:val="ListParagraph"/>
              <w:numPr>
                <w:ilvl w:val="0"/>
                <w:numId w:val="5"/>
              </w:numPr>
              <w:rPr>
                <w:rFonts w:ascii="Arial" w:hAnsi="Arial" w:cs="Arial"/>
                <w:color w:val="auto"/>
              </w:rPr>
            </w:pPr>
            <w:r w:rsidRPr="00E55BB4">
              <w:rPr>
                <w:rFonts w:ascii="Arial" w:hAnsi="Arial" w:cs="Arial"/>
                <w:color w:val="auto"/>
              </w:rPr>
              <w:t>Experience or demonstrated ability supporting and managing a staff of investigators</w:t>
            </w:r>
          </w:p>
          <w:p w14:paraId="5AACFF43" w14:textId="77777777" w:rsidR="003D384C" w:rsidRPr="00E55BB4" w:rsidRDefault="003D384C" w:rsidP="003B6EC7">
            <w:pPr>
              <w:pStyle w:val="ListParagraph"/>
              <w:numPr>
                <w:ilvl w:val="0"/>
                <w:numId w:val="5"/>
              </w:numPr>
              <w:rPr>
                <w:rFonts w:ascii="Arial" w:hAnsi="Arial" w:cs="Arial"/>
                <w:color w:val="auto"/>
              </w:rPr>
            </w:pPr>
            <w:r w:rsidRPr="00E55BB4">
              <w:rPr>
                <w:rFonts w:ascii="Arial" w:hAnsi="Arial" w:cs="Arial"/>
                <w:color w:val="auto"/>
              </w:rPr>
              <w:t>Experience with government enforcement at the local, state or federal level</w:t>
            </w:r>
          </w:p>
          <w:p w14:paraId="39C984EF" w14:textId="77777777" w:rsidR="003D384C" w:rsidRPr="00E55BB4" w:rsidRDefault="003D384C" w:rsidP="003B6EC7">
            <w:pPr>
              <w:pStyle w:val="ListParagraph"/>
              <w:numPr>
                <w:ilvl w:val="0"/>
                <w:numId w:val="5"/>
              </w:numPr>
              <w:rPr>
                <w:rFonts w:ascii="Arial" w:hAnsi="Arial" w:cs="Arial"/>
                <w:color w:val="auto"/>
              </w:rPr>
            </w:pPr>
            <w:r w:rsidRPr="00E55BB4">
              <w:rPr>
                <w:rFonts w:ascii="Arial" w:hAnsi="Arial" w:cs="Arial"/>
                <w:color w:val="auto"/>
              </w:rPr>
              <w:t>Experience with formulation and implementation in a regulatory environment</w:t>
            </w:r>
          </w:p>
        </w:tc>
      </w:tr>
      <w:tr w:rsidR="003D384C" w:rsidRPr="00E55BB4" w14:paraId="65DD60E2" w14:textId="77777777" w:rsidTr="003B6EC7">
        <w:trPr>
          <w:trHeight w:val="734"/>
        </w:trPr>
        <w:tc>
          <w:tcPr>
            <w:tcW w:w="2671" w:type="dxa"/>
            <w:tcBorders>
              <w:top w:val="single" w:sz="2" w:space="0" w:color="000000"/>
              <w:left w:val="single" w:sz="2" w:space="0" w:color="000000"/>
              <w:bottom w:val="single" w:sz="2" w:space="0" w:color="000000"/>
              <w:right w:val="single" w:sz="2" w:space="0" w:color="000000"/>
            </w:tcBorders>
            <w:shd w:val="clear" w:color="auto" w:fill="F2F2F2"/>
            <w:tcMar>
              <w:top w:w="80" w:type="dxa"/>
              <w:left w:w="80" w:type="dxa"/>
              <w:bottom w:w="80" w:type="dxa"/>
              <w:right w:w="80" w:type="dxa"/>
            </w:tcMar>
          </w:tcPr>
          <w:p w14:paraId="52EE3D45" w14:textId="77777777" w:rsidR="003D384C" w:rsidRPr="00E55BB4" w:rsidRDefault="003D384C" w:rsidP="003B6EC7">
            <w:pPr>
              <w:pStyle w:val="Body"/>
              <w:rPr>
                <w:rFonts w:ascii="Arial" w:hAnsi="Arial" w:cs="Arial"/>
                <w:color w:val="auto"/>
              </w:rPr>
            </w:pPr>
            <w:r w:rsidRPr="00E55BB4">
              <w:rPr>
                <w:rFonts w:ascii="Arial" w:hAnsi="Arial" w:cs="Arial"/>
                <w:color w:val="auto"/>
              </w:rPr>
              <w:t>Competencies</w:t>
            </w:r>
          </w:p>
        </w:tc>
        <w:tc>
          <w:tcPr>
            <w:tcW w:w="67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1696C" w14:textId="77777777" w:rsidR="003D384C" w:rsidRPr="00E55BB4" w:rsidRDefault="003D384C" w:rsidP="003B6EC7">
            <w:pPr>
              <w:pStyle w:val="Body"/>
              <w:numPr>
                <w:ilvl w:val="0"/>
                <w:numId w:val="6"/>
              </w:numPr>
              <w:ind w:left="432"/>
              <w:rPr>
                <w:rFonts w:ascii="Arial" w:eastAsia="Arial" w:hAnsi="Arial" w:cs="Arial"/>
                <w:color w:val="auto"/>
                <w:u w:color="0070C0"/>
              </w:rPr>
            </w:pPr>
            <w:r w:rsidRPr="00E55BB4">
              <w:rPr>
                <w:rFonts w:ascii="Arial" w:hAnsi="Arial" w:cs="Arial"/>
                <w:color w:val="auto"/>
                <w:u w:color="0070C0"/>
              </w:rPr>
              <w:t>Strong communication and interpersonal skills</w:t>
            </w:r>
          </w:p>
          <w:p w14:paraId="6926072F" w14:textId="77777777" w:rsidR="003D384C" w:rsidRPr="00E55BB4" w:rsidRDefault="003D384C" w:rsidP="003B6EC7">
            <w:pPr>
              <w:pStyle w:val="Body"/>
              <w:numPr>
                <w:ilvl w:val="0"/>
                <w:numId w:val="6"/>
              </w:numPr>
              <w:ind w:left="432"/>
              <w:rPr>
                <w:rFonts w:ascii="Arial" w:eastAsia="Arial" w:hAnsi="Arial" w:cs="Arial"/>
                <w:color w:val="auto"/>
                <w:u w:color="0070C0"/>
              </w:rPr>
            </w:pPr>
            <w:r w:rsidRPr="00E55BB4">
              <w:rPr>
                <w:rFonts w:ascii="Arial" w:hAnsi="Arial" w:cs="Arial"/>
                <w:color w:val="auto"/>
                <w:u w:color="0070C0"/>
              </w:rPr>
              <w:t>Excellent leadership skills</w:t>
            </w:r>
          </w:p>
          <w:p w14:paraId="72EE83B1" w14:textId="77777777" w:rsidR="003D384C" w:rsidRPr="00E55BB4" w:rsidRDefault="003D384C" w:rsidP="003B6EC7">
            <w:pPr>
              <w:pStyle w:val="Body"/>
              <w:numPr>
                <w:ilvl w:val="0"/>
                <w:numId w:val="6"/>
              </w:numPr>
              <w:ind w:left="432"/>
              <w:rPr>
                <w:rFonts w:ascii="Arial" w:eastAsia="Arial" w:hAnsi="Arial" w:cs="Arial"/>
                <w:color w:val="auto"/>
                <w:u w:color="0070C0"/>
              </w:rPr>
            </w:pPr>
            <w:r w:rsidRPr="00E55BB4">
              <w:rPr>
                <w:rFonts w:ascii="Arial" w:hAnsi="Arial" w:cs="Arial"/>
                <w:color w:val="auto"/>
                <w:u w:color="0070C0"/>
              </w:rPr>
              <w:t>Ability to work under high pressure</w:t>
            </w:r>
          </w:p>
          <w:p w14:paraId="433F138A" w14:textId="77777777" w:rsidR="003D384C" w:rsidRPr="00E55BB4" w:rsidRDefault="003D384C" w:rsidP="003B6EC7">
            <w:pPr>
              <w:pStyle w:val="Body"/>
              <w:numPr>
                <w:ilvl w:val="0"/>
                <w:numId w:val="6"/>
              </w:numPr>
              <w:ind w:left="432"/>
              <w:rPr>
                <w:rFonts w:ascii="Arial" w:eastAsia="Arial" w:hAnsi="Arial" w:cs="Arial"/>
                <w:color w:val="auto"/>
                <w:u w:color="0070C0"/>
              </w:rPr>
            </w:pPr>
            <w:r w:rsidRPr="00E55BB4">
              <w:rPr>
                <w:rFonts w:ascii="Arial" w:hAnsi="Arial" w:cs="Arial"/>
                <w:color w:val="auto"/>
                <w:u w:color="0070C0"/>
              </w:rPr>
              <w:t>Excellent negotiation skills</w:t>
            </w:r>
          </w:p>
        </w:tc>
      </w:tr>
      <w:tr w:rsidR="003D384C" w:rsidRPr="00E55BB4" w14:paraId="78AFBFEE" w14:textId="77777777" w:rsidTr="003B6EC7">
        <w:trPr>
          <w:trHeight w:val="2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003055"/>
            <w:tcMar>
              <w:top w:w="80" w:type="dxa"/>
              <w:left w:w="80" w:type="dxa"/>
              <w:bottom w:w="80" w:type="dxa"/>
              <w:right w:w="80" w:type="dxa"/>
            </w:tcMar>
          </w:tcPr>
          <w:p w14:paraId="78DAB070" w14:textId="77777777" w:rsidR="003D384C" w:rsidRPr="00E55BB4" w:rsidRDefault="003D384C" w:rsidP="003B6EC7">
            <w:pPr>
              <w:pStyle w:val="Body"/>
              <w:jc w:val="center"/>
              <w:rPr>
                <w:rFonts w:ascii="Arial" w:hAnsi="Arial" w:cs="Arial"/>
                <w:color w:val="auto"/>
              </w:rPr>
            </w:pPr>
            <w:r w:rsidRPr="00E55BB4">
              <w:rPr>
                <w:rFonts w:ascii="Arial" w:hAnsi="Arial" w:cs="Arial"/>
                <w:b/>
                <w:bCs/>
                <w:color w:val="auto"/>
                <w:u w:color="FFFFFF"/>
              </w:rPr>
              <w:t>PAST APPOINTEES</w:t>
            </w:r>
          </w:p>
        </w:tc>
      </w:tr>
      <w:tr w:rsidR="003D384C" w:rsidRPr="00E55BB4" w14:paraId="3746CD8F" w14:textId="77777777" w:rsidTr="003B6EC7">
        <w:trPr>
          <w:trHeight w:val="143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3086C" w14:textId="77777777" w:rsidR="003D384C" w:rsidRPr="00E55BB4" w:rsidRDefault="003D384C" w:rsidP="003B6EC7">
            <w:pPr>
              <w:pStyle w:val="Body"/>
              <w:rPr>
                <w:rFonts w:ascii="Arial" w:hAnsi="Arial" w:cs="Arial"/>
                <w:color w:val="auto"/>
              </w:rPr>
            </w:pPr>
            <w:r w:rsidRPr="00E55BB4">
              <w:rPr>
                <w:rFonts w:ascii="Arial" w:hAnsi="Arial" w:cs="Arial"/>
                <w:color w:val="auto"/>
              </w:rPr>
              <w:t>David M. Michaels (2009 to 2010): Committee Decision Maker, Advisory Committee on Construction Safety and Health, Occupational Safety and Health Administration, Department of Labor; Research Professor, Department of Environmental and Occupational Health, School of Public Health and Health Services, The George Washington University; Interim Chair, Department of Environmental and Occupational Health, School of Public Health and Human Services, The George Washington University</w:t>
            </w:r>
          </w:p>
        </w:tc>
      </w:tr>
      <w:tr w:rsidR="003D384C" w:rsidRPr="00E55BB4" w14:paraId="2A4FCB9E" w14:textId="77777777" w:rsidTr="003B6EC7">
        <w:trPr>
          <w:trHeight w:val="95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48B4E0" w14:textId="77777777" w:rsidR="003D384C" w:rsidRPr="00E55BB4" w:rsidRDefault="003D384C" w:rsidP="003B6EC7">
            <w:pPr>
              <w:pStyle w:val="Body"/>
              <w:rPr>
                <w:rFonts w:ascii="Arial" w:hAnsi="Arial" w:cs="Arial"/>
                <w:color w:val="auto"/>
              </w:rPr>
            </w:pPr>
            <w:r w:rsidRPr="00E55BB4">
              <w:rPr>
                <w:rFonts w:ascii="Arial" w:hAnsi="Arial" w:cs="Arial"/>
                <w:color w:val="auto"/>
              </w:rPr>
              <w:t xml:space="preserve">Edwin G. </w:t>
            </w:r>
            <w:proofErr w:type="spellStart"/>
            <w:r w:rsidRPr="00E55BB4">
              <w:rPr>
                <w:rFonts w:ascii="Arial" w:hAnsi="Arial" w:cs="Arial"/>
                <w:color w:val="auto"/>
              </w:rPr>
              <w:t>Foulke</w:t>
            </w:r>
            <w:proofErr w:type="spellEnd"/>
            <w:r w:rsidRPr="00E55BB4">
              <w:rPr>
                <w:rFonts w:ascii="Arial" w:hAnsi="Arial" w:cs="Arial"/>
                <w:color w:val="auto"/>
              </w:rPr>
              <w:t>, Jr. (2005 to 2006): Chair, Federal Advisory Council on Occupational Safety and Health, Occupational Safety and Health Administration, Department of Labor; Committee Decision Maker, Federal Advisory Council on Occupational Safety and Health, Occupational Safety and Health Administration, Department of Labor; Partner, Jackson Lewis LLP</w:t>
            </w:r>
          </w:p>
        </w:tc>
      </w:tr>
      <w:tr w:rsidR="003D384C" w:rsidRPr="00E55BB4" w14:paraId="7A4EFF4D" w14:textId="77777777" w:rsidTr="003B6EC7">
        <w:trPr>
          <w:trHeight w:val="478"/>
        </w:trPr>
        <w:tc>
          <w:tcPr>
            <w:tcW w:w="946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4348DC" w14:textId="77777777" w:rsidR="003D384C" w:rsidRPr="00E55BB4" w:rsidRDefault="003D384C" w:rsidP="003B6EC7">
            <w:pPr>
              <w:pStyle w:val="Body"/>
              <w:rPr>
                <w:rFonts w:ascii="Arial" w:hAnsi="Arial" w:cs="Arial"/>
                <w:color w:val="auto"/>
              </w:rPr>
            </w:pPr>
            <w:r w:rsidRPr="00E55BB4">
              <w:rPr>
                <w:rFonts w:ascii="Arial" w:hAnsi="Arial" w:cs="Arial"/>
                <w:color w:val="auto"/>
              </w:rPr>
              <w:t xml:space="preserve">John L. Henshaw (2001 to 2002): Senior Advisor, Department of Labor; Director, Environment, Safety, and Health, </w:t>
            </w:r>
            <w:proofErr w:type="spellStart"/>
            <w:r w:rsidRPr="00E55BB4">
              <w:rPr>
                <w:rFonts w:ascii="Arial" w:hAnsi="Arial" w:cs="Arial"/>
                <w:color w:val="auto"/>
              </w:rPr>
              <w:t>Astaris</w:t>
            </w:r>
            <w:proofErr w:type="spellEnd"/>
            <w:r w:rsidRPr="00E55BB4">
              <w:rPr>
                <w:rFonts w:ascii="Arial" w:hAnsi="Arial" w:cs="Arial"/>
                <w:color w:val="auto"/>
              </w:rPr>
              <w:t xml:space="preserve"> LLC; Director, Environment, Safety, and Health, Solutia Inc.</w:t>
            </w:r>
          </w:p>
        </w:tc>
      </w:tr>
    </w:tbl>
    <w:p w14:paraId="43A535F1" w14:textId="77777777" w:rsidR="006338A7" w:rsidRDefault="006338A7">
      <w:pPr>
        <w:pStyle w:val="Body"/>
        <w:widowControl w:val="0"/>
        <w:ind w:left="108" w:hanging="108"/>
      </w:pPr>
    </w:p>
    <w:sectPr w:rsidR="006338A7">
      <w:footerReference w:type="default" r:id="rId7"/>
      <w:pgSz w:w="12240" w:h="15840"/>
      <w:pgMar w:top="576" w:right="1368" w:bottom="2448" w:left="1296" w:header="288"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0F872" w14:textId="77777777" w:rsidR="009A58B7" w:rsidRDefault="009A58B7">
      <w:r>
        <w:separator/>
      </w:r>
    </w:p>
  </w:endnote>
  <w:endnote w:type="continuationSeparator" w:id="0">
    <w:p w14:paraId="3E19A97A" w14:textId="77777777" w:rsidR="009A58B7" w:rsidRDefault="009A58B7">
      <w:r>
        <w:continuationSeparator/>
      </w:r>
    </w:p>
  </w:endnote>
  <w:endnote w:id="1">
    <w:p w14:paraId="0A82698F" w14:textId="3D91F5D5" w:rsidR="00E55BB4" w:rsidRDefault="00E55BB4">
      <w:pPr>
        <w:pStyle w:val="EndnoteText"/>
      </w:pPr>
      <w:r>
        <w:rPr>
          <w:rStyle w:val="EndnoteReference"/>
        </w:rPr>
        <w:endnoteRef/>
      </w:r>
      <w:r>
        <w:t xml:space="preserve"> </w:t>
      </w:r>
      <w:r w:rsidR="002D61B7">
        <w:t>The Consolidated Appropriations Act, 2017 (Public Law 115-31, May 5, 2017), contains a provision that continues the freeze on the payable pay rates for certain senior political officials at 2013 levels during calendar year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3086" w14:textId="77777777" w:rsidR="006338A7" w:rsidRDefault="008952DC">
    <w:pPr>
      <w:pStyle w:val="TGAppendixBodyHeaders"/>
      <w:pBdr>
        <w:top w:val="single" w:sz="2" w:space="0" w:color="000000"/>
      </w:pBdr>
      <w:spacing w:line="276" w:lineRule="auto"/>
      <w:ind w:left="40"/>
      <w:rPr>
        <w:rFonts w:ascii="Arial" w:hAnsi="Arial"/>
      </w:rPr>
    </w:pPr>
    <w:r>
      <w:rPr>
        <w:rFonts w:ascii="Arial" w:hAnsi="Arial"/>
        <w:noProof/>
      </w:rPr>
      <w:drawing>
        <wp:inline distT="0" distB="0" distL="0" distR="0" wp14:anchorId="0707C4B8" wp14:editId="50127A8B">
          <wp:extent cx="3049693" cy="34640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049693" cy="346405"/>
                  </a:xfrm>
                  <a:prstGeom prst="rect">
                    <a:avLst/>
                  </a:prstGeom>
                  <a:ln w="12700" cap="flat">
                    <a:noFill/>
                    <a:miter lim="400000"/>
                  </a:ln>
                  <a:effectLst/>
                </pic:spPr>
              </pic:pic>
            </a:graphicData>
          </a:graphic>
        </wp:inline>
      </w:drawing>
    </w:r>
  </w:p>
  <w:p w14:paraId="48AD577A" w14:textId="77777777" w:rsidR="006338A7" w:rsidRDefault="006338A7">
    <w:pPr>
      <w:pStyle w:val="TGAppendixBodyHeaders"/>
      <w:ind w:left="40"/>
      <w:rPr>
        <w:rFonts w:ascii="Arial" w:hAnsi="Arial"/>
      </w:rPr>
    </w:pPr>
  </w:p>
  <w:p w14:paraId="3D01B225" w14:textId="77777777" w:rsidR="006338A7" w:rsidRDefault="008952DC">
    <w:pPr>
      <w:pStyle w:val="TGAppendixBodyHeaders"/>
      <w:ind w:left="40"/>
      <w:rPr>
        <w:rFonts w:ascii="Arial" w:eastAsia="Arial" w:hAnsi="Arial" w:cs="Arial"/>
      </w:rPr>
    </w:pPr>
    <w:r>
      <w:rPr>
        <w:rFonts w:ascii="Arial" w:hAnsi="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051C1295" w14:textId="77777777" w:rsidR="006338A7" w:rsidRDefault="006338A7">
    <w:pPr>
      <w:pStyle w:val="TGAppendixBodyHeaders"/>
      <w:ind w:left="40"/>
      <w:rPr>
        <w:rFonts w:ascii="Arial" w:eastAsia="Arial" w:hAnsi="Arial" w:cs="Arial"/>
      </w:rPr>
    </w:pPr>
  </w:p>
  <w:p w14:paraId="21018924" w14:textId="77777777" w:rsidR="006338A7" w:rsidRDefault="008952DC">
    <w:pPr>
      <w:pStyle w:val="TGAppendixBodyHeaders"/>
      <w:ind w:left="40"/>
    </w:pPr>
    <w:r>
      <w:rPr>
        <w:rFonts w:ascii="Arial" w:hAnsi="Arial"/>
        <w:b/>
        <w:bCs/>
      </w:rPr>
      <w:t>For original transition documents and additional resources, templates and tools, visit presidentialtransition.org.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C1257" w14:textId="77777777" w:rsidR="009A58B7" w:rsidRDefault="009A58B7">
      <w:r>
        <w:separator/>
      </w:r>
    </w:p>
  </w:footnote>
  <w:footnote w:type="continuationSeparator" w:id="0">
    <w:p w14:paraId="62D2F72D" w14:textId="77777777" w:rsidR="009A58B7" w:rsidRDefault="009A5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0D97"/>
    <w:multiLevelType w:val="hybridMultilevel"/>
    <w:tmpl w:val="2AD46E5A"/>
    <w:lvl w:ilvl="0" w:tplc="D0DC0050">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383D5C">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C5ADA">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7695D6">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614DE">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1EFE80">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4C530">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A6A72">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E3068">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834AF3"/>
    <w:multiLevelType w:val="hybridMultilevel"/>
    <w:tmpl w:val="FF2024D8"/>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B4C869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109A6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D69FD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821BE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D00BB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209D6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20914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06B9F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083E8A"/>
    <w:multiLevelType w:val="hybridMultilevel"/>
    <w:tmpl w:val="0ECE5460"/>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B4C869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109A6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D69FD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821BE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D00BB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209D6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20914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06B9F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206EF9"/>
    <w:multiLevelType w:val="hybridMultilevel"/>
    <w:tmpl w:val="0700DA46"/>
    <w:lvl w:ilvl="0" w:tplc="5D46B700">
      <w:start w:val="1"/>
      <w:numFmt w:val="bullet"/>
      <w:lvlText w:val="•"/>
      <w:lvlJc w:val="left"/>
      <w:pPr>
        <w:ind w:left="43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C869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109A6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9D69FD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821BE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D00BB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8209D6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D20914E">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06B9F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2A3B21"/>
    <w:multiLevelType w:val="hybridMultilevel"/>
    <w:tmpl w:val="32B46982"/>
    <w:lvl w:ilvl="0" w:tplc="04090001">
      <w:start w:val="1"/>
      <w:numFmt w:val="bullet"/>
      <w:lvlText w:val=""/>
      <w:lvlJc w:val="left"/>
      <w:pPr>
        <w:ind w:left="432"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A383D5C">
      <w:start w:val="1"/>
      <w:numFmt w:val="bullet"/>
      <w:lvlText w:val="o"/>
      <w:lvlJc w:val="left"/>
      <w:pPr>
        <w:ind w:left="11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C5ADA">
      <w:start w:val="1"/>
      <w:numFmt w:val="bullet"/>
      <w:lvlText w:val="▪"/>
      <w:lvlJc w:val="left"/>
      <w:pPr>
        <w:ind w:left="18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7695D6">
      <w:start w:val="1"/>
      <w:numFmt w:val="bullet"/>
      <w:lvlText w:val="•"/>
      <w:lvlJc w:val="left"/>
      <w:pPr>
        <w:ind w:left="25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614DE">
      <w:start w:val="1"/>
      <w:numFmt w:val="bullet"/>
      <w:lvlText w:val="o"/>
      <w:lvlJc w:val="left"/>
      <w:pPr>
        <w:ind w:left="33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1EFE80">
      <w:start w:val="1"/>
      <w:numFmt w:val="bullet"/>
      <w:lvlText w:val="▪"/>
      <w:lvlJc w:val="left"/>
      <w:pPr>
        <w:ind w:left="40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B4C530">
      <w:start w:val="1"/>
      <w:numFmt w:val="bullet"/>
      <w:lvlText w:val="•"/>
      <w:lvlJc w:val="left"/>
      <w:pPr>
        <w:ind w:left="47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A6A72">
      <w:start w:val="1"/>
      <w:numFmt w:val="bullet"/>
      <w:lvlText w:val="o"/>
      <w:lvlJc w:val="left"/>
      <w:pPr>
        <w:ind w:left="54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0E3068">
      <w:start w:val="1"/>
      <w:numFmt w:val="bullet"/>
      <w:lvlText w:val="▪"/>
      <w:lvlJc w:val="left"/>
      <w:pPr>
        <w:ind w:left="61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CA30243"/>
    <w:multiLevelType w:val="hybridMultilevel"/>
    <w:tmpl w:val="C562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A7"/>
    <w:rsid w:val="00015153"/>
    <w:rsid w:val="000E467B"/>
    <w:rsid w:val="001B4C23"/>
    <w:rsid w:val="00287BC9"/>
    <w:rsid w:val="002D61B7"/>
    <w:rsid w:val="00321BEC"/>
    <w:rsid w:val="003D384C"/>
    <w:rsid w:val="0045040A"/>
    <w:rsid w:val="006338A7"/>
    <w:rsid w:val="008952DC"/>
    <w:rsid w:val="009A58B7"/>
    <w:rsid w:val="00A905AD"/>
    <w:rsid w:val="00AA2B8B"/>
    <w:rsid w:val="00AD661B"/>
    <w:rsid w:val="00D64B87"/>
    <w:rsid w:val="00D73174"/>
    <w:rsid w:val="00E5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5EEF"/>
  <w15:docId w15:val="{75D737E9-50F8-4FDD-91FA-4F1472FF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TGAppendixBodyHeaders">
    <w:name w:val="TG_Appendix Body (Headers)"/>
    <w:pPr>
      <w:widowControl w:val="0"/>
      <w:tabs>
        <w:tab w:val="left" w:pos="720"/>
      </w:tabs>
      <w:suppressAutoHyphens/>
      <w:spacing w:line="180" w:lineRule="atLeast"/>
    </w:pPr>
    <w:rPr>
      <w:rFonts w:ascii="GothamNarrow-Book" w:eastAsia="GothamNarrow-Book" w:hAnsi="GothamNarrow-Book" w:cs="GothamNarrow-Book"/>
      <w:color w:val="000000"/>
      <w:sz w:val="16"/>
      <w:szCs w:val="16"/>
      <w:u w:color="000000"/>
    </w:rPr>
  </w:style>
  <w:style w:type="paragraph" w:customStyle="1" w:styleId="Heading">
    <w:name w:val="Heading"/>
    <w:next w:val="Body"/>
    <w:pPr>
      <w:keepNext/>
      <w:keepLines/>
      <w:pBdr>
        <w:bottom w:val="single" w:sz="4" w:space="0" w:color="003055"/>
      </w:pBdr>
      <w:tabs>
        <w:tab w:val="left" w:pos="4016"/>
      </w:tabs>
      <w:spacing w:before="480" w:after="120"/>
      <w:outlineLvl w:val="0"/>
    </w:pPr>
    <w:rPr>
      <w:rFonts w:ascii="Arial" w:hAnsi="Arial" w:cs="Arial Unicode MS"/>
      <w:b/>
      <w:bCs/>
      <w:caps/>
      <w:color w:val="000000"/>
      <w:sz w:val="26"/>
      <w:szCs w:val="26"/>
      <w:u w:color="000000"/>
    </w:rPr>
  </w:style>
  <w:style w:type="paragraph" w:customStyle="1" w:styleId="Body">
    <w:name w:val="Body"/>
    <w:rPr>
      <w:rFonts w:cs="Arial Unicode MS"/>
      <w:color w:val="000000"/>
      <w:sz w:val="22"/>
      <w:szCs w:val="22"/>
      <w:u w:color="000000"/>
    </w:rPr>
  </w:style>
  <w:style w:type="paragraph" w:styleId="ListParagraph">
    <w:name w:val="List Paragraph"/>
    <w:rPr>
      <w:rFonts w:cs="Arial Unicode MS"/>
      <w:color w:val="000000"/>
      <w:sz w:val="22"/>
      <w:szCs w:val="22"/>
      <w:u w:color="000000"/>
    </w:rPr>
  </w:style>
  <w:style w:type="character" w:styleId="CommentReference">
    <w:name w:val="annotation reference"/>
    <w:basedOn w:val="DefaultParagraphFont"/>
    <w:uiPriority w:val="99"/>
    <w:semiHidden/>
    <w:unhideWhenUsed/>
    <w:rsid w:val="00AD661B"/>
    <w:rPr>
      <w:sz w:val="16"/>
      <w:szCs w:val="16"/>
    </w:rPr>
  </w:style>
  <w:style w:type="paragraph" w:styleId="CommentText">
    <w:name w:val="annotation text"/>
    <w:basedOn w:val="Normal"/>
    <w:link w:val="CommentTextChar"/>
    <w:uiPriority w:val="99"/>
    <w:unhideWhenUsed/>
    <w:rsid w:val="00AD661B"/>
    <w:rPr>
      <w:sz w:val="20"/>
      <w:szCs w:val="20"/>
    </w:rPr>
  </w:style>
  <w:style w:type="character" w:customStyle="1" w:styleId="CommentTextChar">
    <w:name w:val="Comment Text Char"/>
    <w:basedOn w:val="DefaultParagraphFont"/>
    <w:link w:val="CommentText"/>
    <w:uiPriority w:val="99"/>
    <w:rsid w:val="00AD661B"/>
  </w:style>
  <w:style w:type="paragraph" w:styleId="CommentSubject">
    <w:name w:val="annotation subject"/>
    <w:basedOn w:val="CommentText"/>
    <w:next w:val="CommentText"/>
    <w:link w:val="CommentSubjectChar"/>
    <w:uiPriority w:val="99"/>
    <w:semiHidden/>
    <w:unhideWhenUsed/>
    <w:rsid w:val="00AD661B"/>
    <w:rPr>
      <w:b/>
      <w:bCs/>
    </w:rPr>
  </w:style>
  <w:style w:type="character" w:customStyle="1" w:styleId="CommentSubjectChar">
    <w:name w:val="Comment Subject Char"/>
    <w:basedOn w:val="CommentTextChar"/>
    <w:link w:val="CommentSubject"/>
    <w:uiPriority w:val="99"/>
    <w:semiHidden/>
    <w:rsid w:val="00AD661B"/>
    <w:rPr>
      <w:b/>
      <w:bCs/>
    </w:rPr>
  </w:style>
  <w:style w:type="paragraph" w:styleId="BalloonText">
    <w:name w:val="Balloon Text"/>
    <w:basedOn w:val="Normal"/>
    <w:link w:val="BalloonTextChar"/>
    <w:uiPriority w:val="99"/>
    <w:semiHidden/>
    <w:unhideWhenUsed/>
    <w:rsid w:val="00AD6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61B"/>
    <w:rPr>
      <w:rFonts w:ascii="Segoe UI" w:hAnsi="Segoe UI" w:cs="Segoe UI"/>
      <w:sz w:val="18"/>
      <w:szCs w:val="18"/>
    </w:rPr>
  </w:style>
  <w:style w:type="paragraph" w:styleId="EndnoteText">
    <w:name w:val="endnote text"/>
    <w:basedOn w:val="Normal"/>
    <w:link w:val="EndnoteTextChar"/>
    <w:uiPriority w:val="99"/>
    <w:semiHidden/>
    <w:unhideWhenUsed/>
    <w:rsid w:val="00E55BB4"/>
    <w:rPr>
      <w:sz w:val="20"/>
      <w:szCs w:val="20"/>
    </w:rPr>
  </w:style>
  <w:style w:type="character" w:customStyle="1" w:styleId="EndnoteTextChar">
    <w:name w:val="Endnote Text Char"/>
    <w:basedOn w:val="DefaultParagraphFont"/>
    <w:link w:val="EndnoteText"/>
    <w:uiPriority w:val="99"/>
    <w:semiHidden/>
    <w:rsid w:val="00E55BB4"/>
  </w:style>
  <w:style w:type="character" w:styleId="EndnoteReference">
    <w:name w:val="endnote reference"/>
    <w:basedOn w:val="DefaultParagraphFont"/>
    <w:uiPriority w:val="99"/>
    <w:semiHidden/>
    <w:unhideWhenUsed/>
    <w:rsid w:val="00E55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Partnership">
      <a:dk1>
        <a:srgbClr val="000000"/>
      </a:dk1>
      <a:lt1>
        <a:srgbClr val="FFFFFF"/>
      </a:lt1>
      <a:dk2>
        <a:srgbClr val="A7A7A7"/>
      </a:dk2>
      <a:lt2>
        <a:srgbClr val="535353"/>
      </a:lt2>
      <a:accent1>
        <a:srgbClr val="005789"/>
      </a:accent1>
      <a:accent2>
        <a:srgbClr val="E6B222"/>
      </a:accent2>
      <a:accent3>
        <a:srgbClr val="598527"/>
      </a:accent3>
      <a:accent4>
        <a:srgbClr val="CA6C2C"/>
      </a:accent4>
      <a:accent5>
        <a:srgbClr val="6292AE"/>
      </a:accent5>
      <a:accent6>
        <a:srgbClr val="E8CD60"/>
      </a:accent6>
      <a:hlink>
        <a:srgbClr val="0000FF"/>
      </a:hlink>
      <a:folHlink>
        <a:srgbClr val="FF00FF"/>
      </a:folHlink>
    </a:clrScheme>
    <a:fontScheme name="Partnership">
      <a:majorFont>
        <a:latin typeface="Helvetica"/>
        <a:ea typeface="Helvetica"/>
        <a:cs typeface="Helvetica"/>
      </a:majorFont>
      <a:minorFont>
        <a:latin typeface="Helvetica"/>
        <a:ea typeface="Helvetica"/>
        <a:cs typeface="Helvetica"/>
      </a:minorFont>
    </a:fontScheme>
    <a:fmtScheme name="Partnership">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3055"/>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Pietrantoni</dc:creator>
  <cp:lastModifiedBy>Laura Pietrantoni</cp:lastModifiedBy>
  <cp:revision>5</cp:revision>
  <dcterms:created xsi:type="dcterms:W3CDTF">2017-02-24T16:05:00Z</dcterms:created>
  <dcterms:modified xsi:type="dcterms:W3CDTF">2017-09-15T12:59:00Z</dcterms:modified>
</cp:coreProperties>
</file>